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6A20E50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0B7F3E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4299838A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560970" w:rsidRPr="00560970">
        <w:rPr>
          <w:noProof/>
          <w:color w:val="111111"/>
          <w:sz w:val="16"/>
        </w:rPr>
        <w:t>light grey with nuances through and through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2C7FF0F8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>s</w:t>
      </w:r>
      <w:r w:rsidR="000B7F3E">
        <w:rPr>
          <w:noProof/>
          <w:color w:val="111111"/>
          <w:sz w:val="16"/>
        </w:rPr>
        <w:t xml:space="preserve"> and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69451C76" w:rsidR="002F02AD" w:rsidRDefault="000B7F3E" w:rsidP="002F02AD">
            <w:r>
              <w:rPr>
                <w:sz w:val="14"/>
              </w:rPr>
              <w:t>505x40x25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61C8794F" w:rsidR="002F02AD" w:rsidRPr="00E61D8E" w:rsidRDefault="000B7F3E" w:rsidP="002F02AD">
            <w:pPr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0B7F3E" w14:paraId="5194B3EF" w14:textId="77777777" w:rsidTr="00DC7295">
        <w:tc>
          <w:tcPr>
            <w:tcW w:w="2939" w:type="dxa"/>
            <w:vAlign w:val="center"/>
          </w:tcPr>
          <w:p w14:paraId="03C3A2E5" w14:textId="37A946A0" w:rsidR="000B7F3E" w:rsidRPr="001907E4" w:rsidRDefault="000B7F3E" w:rsidP="000B7F3E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034CDAB3" w14:textId="7538C98D" w:rsidR="000B7F3E" w:rsidRDefault="000B7F3E" w:rsidP="000B7F3E">
            <w:pPr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284" w:type="dxa"/>
            <w:vAlign w:val="center"/>
          </w:tcPr>
          <w:p w14:paraId="366EBEA6" w14:textId="77777777" w:rsidR="000B7F3E" w:rsidRDefault="000B7F3E" w:rsidP="000B7F3E"/>
        </w:tc>
      </w:tr>
      <w:tr w:rsidR="000B7F3E" w14:paraId="71A314B9" w14:textId="77777777" w:rsidTr="00DC7295">
        <w:tc>
          <w:tcPr>
            <w:tcW w:w="2939" w:type="dxa"/>
            <w:vAlign w:val="center"/>
          </w:tcPr>
          <w:p w14:paraId="1E053CF3" w14:textId="00EA98B2" w:rsidR="000B7F3E" w:rsidRDefault="000B7F3E" w:rsidP="000B7F3E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0B7F3E" w:rsidRDefault="000B7F3E" w:rsidP="000B7F3E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0B7F3E" w:rsidRDefault="000B7F3E" w:rsidP="000B7F3E"/>
        </w:tc>
      </w:tr>
      <w:tr w:rsidR="000B7F3E" w14:paraId="231957B1" w14:textId="77777777" w:rsidTr="00DC7295">
        <w:tc>
          <w:tcPr>
            <w:tcW w:w="2939" w:type="dxa"/>
            <w:vAlign w:val="center"/>
          </w:tcPr>
          <w:p w14:paraId="77AD30CF" w14:textId="071CE48E" w:rsidR="000B7F3E" w:rsidRDefault="000B7F3E" w:rsidP="000B7F3E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7241CDEA" w:rsidR="000B7F3E" w:rsidRDefault="000B7F3E" w:rsidP="000B7F3E">
            <w:r>
              <w:rPr>
                <w:sz w:val="14"/>
              </w:rPr>
              <w:t>&lt; 14%</w:t>
            </w:r>
          </w:p>
        </w:tc>
        <w:tc>
          <w:tcPr>
            <w:tcW w:w="284" w:type="dxa"/>
            <w:vAlign w:val="center"/>
          </w:tcPr>
          <w:p w14:paraId="2409B2B4" w14:textId="77777777" w:rsidR="000B7F3E" w:rsidRDefault="000B7F3E" w:rsidP="000B7F3E"/>
        </w:tc>
      </w:tr>
      <w:tr w:rsidR="000B7F3E" w14:paraId="5DA0CD13" w14:textId="77777777" w:rsidTr="00DC7295">
        <w:tc>
          <w:tcPr>
            <w:tcW w:w="2939" w:type="dxa"/>
            <w:vAlign w:val="center"/>
          </w:tcPr>
          <w:p w14:paraId="1E45F2E6" w14:textId="4DC995DA" w:rsidR="000B7F3E" w:rsidRDefault="000B7F3E" w:rsidP="000B7F3E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7AD4FFA1" w:rsidR="000B7F3E" w:rsidRDefault="000B7F3E" w:rsidP="000B7F3E">
            <w:r w:rsidRPr="00E430E6"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0B7F3E" w:rsidRDefault="000B7F3E" w:rsidP="000B7F3E"/>
        </w:tc>
      </w:tr>
      <w:tr w:rsidR="000B7F3E" w14:paraId="0D647D36" w14:textId="77777777" w:rsidTr="00DC7295">
        <w:tc>
          <w:tcPr>
            <w:tcW w:w="2939" w:type="dxa"/>
            <w:vAlign w:val="center"/>
          </w:tcPr>
          <w:p w14:paraId="7CE82871" w14:textId="2CBF5AAB" w:rsidR="000B7F3E" w:rsidRDefault="000B7F3E" w:rsidP="000B7F3E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0B7F3E" w:rsidRDefault="000B7F3E" w:rsidP="000B7F3E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0B7F3E" w:rsidRDefault="000B7F3E" w:rsidP="000B7F3E"/>
        </w:tc>
      </w:tr>
      <w:tr w:rsidR="000B7F3E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0B7F3E" w:rsidRDefault="000B7F3E" w:rsidP="000B7F3E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F2DC30F" w:rsidR="000B7F3E" w:rsidRDefault="000B7F3E" w:rsidP="000B7F3E">
            <w:r>
              <w:rPr>
                <w:sz w:val="14"/>
              </w:rPr>
              <w:t>0,60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0B7F3E" w:rsidRDefault="000B7F3E" w:rsidP="000B7F3E"/>
        </w:tc>
      </w:tr>
      <w:tr w:rsidR="000B7F3E" w14:paraId="4DA7E49A" w14:textId="77777777" w:rsidTr="00DC7295">
        <w:tc>
          <w:tcPr>
            <w:tcW w:w="2939" w:type="dxa"/>
            <w:vAlign w:val="center"/>
          </w:tcPr>
          <w:p w14:paraId="269CDB07" w14:textId="6A811DC5" w:rsidR="000B7F3E" w:rsidRDefault="000B7F3E" w:rsidP="000B7F3E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0B7F3E" w:rsidRDefault="000B7F3E" w:rsidP="000B7F3E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0B7F3E" w:rsidRDefault="000B7F3E" w:rsidP="000B7F3E"/>
        </w:tc>
      </w:tr>
      <w:tr w:rsidR="000B7F3E" w14:paraId="2B559B8F" w14:textId="77777777" w:rsidTr="00DC7295">
        <w:tc>
          <w:tcPr>
            <w:tcW w:w="2939" w:type="dxa"/>
            <w:vAlign w:val="center"/>
          </w:tcPr>
          <w:p w14:paraId="3CF9B6EC" w14:textId="46E55886" w:rsidR="000B7F3E" w:rsidRDefault="000B7F3E" w:rsidP="000B7F3E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0B7F3E" w:rsidRDefault="000B7F3E" w:rsidP="000B7F3E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298696D8" w14:textId="77777777" w:rsidR="000B7F3E" w:rsidRDefault="000B7F3E" w:rsidP="000B7F3E"/>
        </w:tc>
      </w:tr>
      <w:tr w:rsidR="000B7F3E" w14:paraId="18BB978A" w14:textId="77777777" w:rsidTr="00DC7295">
        <w:tc>
          <w:tcPr>
            <w:tcW w:w="2939" w:type="dxa"/>
            <w:vAlign w:val="center"/>
          </w:tcPr>
          <w:p w14:paraId="0E3D948B" w14:textId="0E8354A5" w:rsidR="000B7F3E" w:rsidRDefault="000B7F3E" w:rsidP="000B7F3E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0B7F3E" w:rsidRDefault="000B7F3E" w:rsidP="000B7F3E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02F8AAC2" w14:textId="77777777" w:rsidR="000B7F3E" w:rsidRDefault="000B7F3E" w:rsidP="000B7F3E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3F3D295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10-12 mm </w:t>
            </w:r>
          </w:p>
        </w:tc>
        <w:tc>
          <w:tcPr>
            <w:tcW w:w="1823" w:type="dxa"/>
            <w:vAlign w:val="center"/>
          </w:tcPr>
          <w:p w14:paraId="3C7902DF" w14:textId="104E601E" w:rsidR="007E09BD" w:rsidRPr="001566D4" w:rsidRDefault="00652CCE" w:rsidP="00CE2140">
            <w:pPr>
              <w:spacing w:line="360" w:lineRule="auto"/>
            </w:pPr>
            <w:r>
              <w:rPr>
                <w:sz w:val="14"/>
                <w:lang w:val="nl-BE"/>
              </w:rPr>
              <w:t>3</w:t>
            </w:r>
            <w:r w:rsidR="000B7F3E">
              <w:rPr>
                <w:sz w:val="14"/>
                <w:lang w:val="nl-BE"/>
              </w:rPr>
              <w:t>6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19550C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1904AE26" w:rsidR="0019550C" w:rsidRPr="00B17F5E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joint 5-6 mm </w:t>
            </w:r>
          </w:p>
        </w:tc>
        <w:tc>
          <w:tcPr>
            <w:tcW w:w="1823" w:type="dxa"/>
            <w:vAlign w:val="center"/>
          </w:tcPr>
          <w:p w14:paraId="4175DD43" w14:textId="78495913" w:rsidR="0019550C" w:rsidRPr="001566D4" w:rsidRDefault="0019550C" w:rsidP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  <w:lang w:val="nl-BE"/>
              </w:rPr>
              <w:t>42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19550C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19550C" w:rsidRPr="001566D4" w:rsidRDefault="0019550C" w:rsidP="0019550C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19550C" w:rsidRPr="001566D4" w:rsidRDefault="0019550C" w:rsidP="0019550C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13192ADF" w14:textId="0468850F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478E5B52" w14:textId="6D707D25" w:rsidR="0019550C" w:rsidRDefault="0019550C" w:rsidP="0019550C">
      <w:pPr>
        <w:rPr>
          <w:lang w:val="nl-BE"/>
        </w:rPr>
      </w:pPr>
      <w:r>
        <w:rPr>
          <w:lang w:val="nl-BE"/>
        </w:rPr>
        <w:t xml:space="preserve">                    </w:t>
      </w:r>
      <w:r>
        <w:rPr>
          <w:noProof/>
        </w:rPr>
        <w:drawing>
          <wp:inline distT="0" distB="0" distL="0" distR="0" wp14:anchorId="00713C0B" wp14:editId="39BB9C85">
            <wp:extent cx="3114040" cy="11645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2182" w14:textId="77777777" w:rsidR="0019550C" w:rsidRDefault="0019550C" w:rsidP="0019550C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58DC49BF" w14:textId="77777777" w:rsidR="0019550C" w:rsidRDefault="0019550C" w:rsidP="0019550C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16061635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382"/>
        <w:gridCol w:w="1418"/>
        <w:gridCol w:w="1139"/>
        <w:gridCol w:w="2126"/>
        <w:gridCol w:w="283"/>
      </w:tblGrid>
      <w:tr w:rsidR="0019550C" w:rsidRPr="0019550C" w14:paraId="157B29C6" w14:textId="77777777" w:rsidTr="0019550C">
        <w:trPr>
          <w:trHeight w:val="153"/>
        </w:trPr>
        <w:tc>
          <w:tcPr>
            <w:tcW w:w="382" w:type="dxa"/>
            <w:vAlign w:val="center"/>
          </w:tcPr>
          <w:p w14:paraId="028E9F5D" w14:textId="77777777" w:rsidR="0019550C" w:rsidRDefault="0019550C">
            <w:pPr>
              <w:spacing w:line="360" w:lineRule="auto"/>
              <w:jc w:val="center"/>
              <w:rPr>
                <w:sz w:val="14"/>
                <w:szCs w:val="14"/>
                <w:lang w:val="nl-BE"/>
              </w:rPr>
            </w:pPr>
          </w:p>
        </w:tc>
        <w:tc>
          <w:tcPr>
            <w:tcW w:w="1418" w:type="dxa"/>
            <w:hideMark/>
          </w:tcPr>
          <w:p w14:paraId="3484576D" w14:textId="5D202ECA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1139" w:type="dxa"/>
          </w:tcPr>
          <w:p w14:paraId="541AC39F" w14:textId="77777777" w:rsidR="0019550C" w:rsidRDefault="0019550C"/>
        </w:tc>
        <w:tc>
          <w:tcPr>
            <w:tcW w:w="2126" w:type="dxa"/>
            <w:hideMark/>
          </w:tcPr>
          <w:p w14:paraId="21CF7F22" w14:textId="4CFEB446" w:rsidR="0019550C" w:rsidRDefault="0019550C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 (L1 = ca. 250 mm)</w:t>
            </w:r>
          </w:p>
        </w:tc>
        <w:tc>
          <w:tcPr>
            <w:tcW w:w="283" w:type="dxa"/>
          </w:tcPr>
          <w:p w14:paraId="304D030F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14:paraId="30FE43CF" w14:textId="77777777" w:rsidR="0019550C" w:rsidRPr="0019550C" w:rsidRDefault="0019550C" w:rsidP="0019550C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</w:p>
    <w:p w14:paraId="257C1C7D" w14:textId="302C3423" w:rsidR="0019550C" w:rsidRDefault="0019550C" w:rsidP="0019550C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dimensions</w:t>
      </w:r>
    </w:p>
    <w:p w14:paraId="255DBB68" w14:textId="77777777" w:rsidR="0019550C" w:rsidRDefault="0019550C" w:rsidP="0019550C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2430"/>
      </w:tblGrid>
      <w:tr w:rsidR="0019550C" w:rsidRPr="0019550C" w14:paraId="167B920A" w14:textId="77777777" w:rsidTr="0019550C">
        <w:tc>
          <w:tcPr>
            <w:tcW w:w="0" w:type="auto"/>
            <w:vAlign w:val="center"/>
            <w:hideMark/>
          </w:tcPr>
          <w:p w14:paraId="17EB5003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  <w:hideMark/>
          </w:tcPr>
          <w:p w14:paraId="396944A7" w14:textId="2365358B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505 mm (corner slips ca. 250 mm)</w:t>
            </w:r>
          </w:p>
        </w:tc>
      </w:tr>
      <w:tr w:rsidR="0019550C" w14:paraId="64EC5B72" w14:textId="77777777" w:rsidTr="0019550C">
        <w:tc>
          <w:tcPr>
            <w:tcW w:w="0" w:type="auto"/>
            <w:vAlign w:val="center"/>
            <w:hideMark/>
          </w:tcPr>
          <w:p w14:paraId="1D9E352B" w14:textId="77777777" w:rsidR="0019550C" w:rsidRDefault="0019550C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  <w:hideMark/>
          </w:tcPr>
          <w:p w14:paraId="596A7A8D" w14:textId="77777777" w:rsidR="0019550C" w:rsidRDefault="0019550C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100 mm</w:t>
            </w:r>
          </w:p>
        </w:tc>
      </w:tr>
      <w:tr w:rsidR="0019550C" w14:paraId="286B63D8" w14:textId="77777777" w:rsidTr="0019550C">
        <w:tc>
          <w:tcPr>
            <w:tcW w:w="0" w:type="auto"/>
            <w:vAlign w:val="center"/>
            <w:hideMark/>
          </w:tcPr>
          <w:p w14:paraId="5A7D17A7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C014972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40 mm</w:t>
            </w:r>
          </w:p>
        </w:tc>
      </w:tr>
      <w:tr w:rsidR="0019550C" w14:paraId="1E63AC77" w14:textId="77777777" w:rsidTr="0019550C">
        <w:tc>
          <w:tcPr>
            <w:tcW w:w="0" w:type="auto"/>
            <w:vAlign w:val="center"/>
            <w:hideMark/>
          </w:tcPr>
          <w:p w14:paraId="3AE22F9C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2493ADB" w14:textId="77777777" w:rsidR="0019550C" w:rsidRDefault="0019550C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25 mm</w:t>
            </w:r>
          </w:p>
        </w:tc>
      </w:tr>
    </w:tbl>
    <w:p w14:paraId="4588FF44" w14:textId="77777777" w:rsidR="0019550C" w:rsidRDefault="0019550C" w:rsidP="00E71E22">
      <w:pPr>
        <w:pStyle w:val="Kop1"/>
        <w:spacing w:before="142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0975F1D3" w:rsidR="00F25199" w:rsidRPr="00EF4347" w:rsidRDefault="000B7F3E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Infinitum </w:t>
                          </w:r>
                          <w:r w:rsidR="00560970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7001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0975F1D3" w:rsidR="00F25199" w:rsidRPr="00EF4347" w:rsidRDefault="000B7F3E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Infinitum </w:t>
                    </w:r>
                    <w:r w:rsidR="00560970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7001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B7F3E"/>
    <w:rsid w:val="000E4BEA"/>
    <w:rsid w:val="000F44FD"/>
    <w:rsid w:val="00105B4B"/>
    <w:rsid w:val="001305A4"/>
    <w:rsid w:val="00135D9D"/>
    <w:rsid w:val="0018071E"/>
    <w:rsid w:val="001816F2"/>
    <w:rsid w:val="001907E4"/>
    <w:rsid w:val="0019550C"/>
    <w:rsid w:val="001A2F86"/>
    <w:rsid w:val="00216067"/>
    <w:rsid w:val="002163EA"/>
    <w:rsid w:val="00216B29"/>
    <w:rsid w:val="002421F5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60970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479D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49</cp:revision>
  <cp:lastPrinted>2022-05-05T07:50:00Z</cp:lastPrinted>
  <dcterms:created xsi:type="dcterms:W3CDTF">2022-04-04T13:30:00Z</dcterms:created>
  <dcterms:modified xsi:type="dcterms:W3CDTF">2022-07-15T11:38:00Z</dcterms:modified>
</cp:coreProperties>
</file>